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AB38" w14:textId="37A1EC26" w:rsidR="00007EE8" w:rsidRDefault="000A16FE">
      <w:pPr>
        <w:rPr>
          <w:b/>
          <w:bCs/>
          <w:sz w:val="22"/>
          <w:szCs w:val="22"/>
        </w:rPr>
      </w:pPr>
      <w:r w:rsidRPr="00D64976">
        <w:rPr>
          <w:b/>
          <w:bCs/>
          <w:sz w:val="22"/>
          <w:szCs w:val="22"/>
        </w:rPr>
        <w:t>Supplementary Information</w:t>
      </w:r>
    </w:p>
    <w:p w14:paraId="59ED3476" w14:textId="23BC105C" w:rsidR="00D64976" w:rsidRDefault="00D64976">
      <w:pPr>
        <w:rPr>
          <w:b/>
          <w:bCs/>
          <w:sz w:val="22"/>
          <w:szCs w:val="22"/>
        </w:rPr>
      </w:pPr>
    </w:p>
    <w:p w14:paraId="00CC68A0" w14:textId="3A5F3148" w:rsidR="00B35450" w:rsidRDefault="009B41BC">
      <w:pPr>
        <w:rPr>
          <w:b/>
          <w:bCs/>
          <w:sz w:val="22"/>
          <w:szCs w:val="22"/>
        </w:rPr>
      </w:pPr>
      <w:r>
        <w:rPr>
          <w:noProof/>
        </w:rPr>
        <w:drawing>
          <wp:inline distT="0" distB="0" distL="0" distR="0" wp14:anchorId="5A7F8383" wp14:editId="73DB5590">
            <wp:extent cx="3453493" cy="635125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4664" cy="6371796"/>
                    </a:xfrm>
                    <a:prstGeom prst="rect">
                      <a:avLst/>
                    </a:prstGeom>
                    <a:noFill/>
                    <a:ln>
                      <a:noFill/>
                    </a:ln>
                  </pic:spPr>
                </pic:pic>
              </a:graphicData>
            </a:graphic>
          </wp:inline>
        </w:drawing>
      </w:r>
    </w:p>
    <w:p w14:paraId="3CE64684" w14:textId="77777777" w:rsidR="003C5DB1" w:rsidRDefault="003C5DB1">
      <w:pPr>
        <w:rPr>
          <w:b/>
          <w:bCs/>
          <w:sz w:val="22"/>
          <w:szCs w:val="22"/>
        </w:rPr>
      </w:pPr>
    </w:p>
    <w:p w14:paraId="0A61C703" w14:textId="022AB956" w:rsidR="00B35450" w:rsidRPr="00B35450" w:rsidRDefault="00B35450">
      <w:pPr>
        <w:rPr>
          <w:sz w:val="22"/>
          <w:szCs w:val="22"/>
        </w:rPr>
      </w:pPr>
      <w:r>
        <w:rPr>
          <w:b/>
          <w:bCs/>
          <w:sz w:val="22"/>
          <w:szCs w:val="22"/>
        </w:rPr>
        <w:t xml:space="preserve">Figure S1. Genomic </w:t>
      </w:r>
      <w:r>
        <w:rPr>
          <w:b/>
          <w:bCs/>
          <w:i/>
          <w:iCs/>
          <w:sz w:val="22"/>
          <w:szCs w:val="22"/>
        </w:rPr>
        <w:t xml:space="preserve">M. tuberculosis </w:t>
      </w:r>
      <w:r>
        <w:rPr>
          <w:b/>
          <w:bCs/>
          <w:sz w:val="22"/>
          <w:szCs w:val="22"/>
        </w:rPr>
        <w:t xml:space="preserve">surveillance in Paraguay. </w:t>
      </w:r>
      <w:r>
        <w:rPr>
          <w:sz w:val="22"/>
          <w:szCs w:val="22"/>
        </w:rPr>
        <w:t>Flowchart indicates the total number of notified cases of TB in Paraguay, from 2016 to 2021; TB cases in the three</w:t>
      </w:r>
      <w:r w:rsidR="003C5DB1">
        <w:rPr>
          <w:sz w:val="22"/>
          <w:szCs w:val="22"/>
        </w:rPr>
        <w:t xml:space="preserve"> major</w:t>
      </w:r>
      <w:r>
        <w:rPr>
          <w:sz w:val="22"/>
          <w:szCs w:val="22"/>
        </w:rPr>
        <w:t xml:space="preserve"> urban departments of Paraguay; TB cases in urban departments stratified by incarceration status at the time of TB notification; </w:t>
      </w:r>
      <w:r w:rsidR="00681E82">
        <w:rPr>
          <w:sz w:val="22"/>
          <w:szCs w:val="22"/>
        </w:rPr>
        <w:t xml:space="preserve">bacteriologically and culture-confirmed TB cases; </w:t>
      </w:r>
      <w:r>
        <w:rPr>
          <w:sz w:val="22"/>
          <w:szCs w:val="22"/>
        </w:rPr>
        <w:t xml:space="preserve">and number of cases for which sequenced </w:t>
      </w:r>
      <w:r>
        <w:rPr>
          <w:i/>
          <w:iCs/>
          <w:sz w:val="22"/>
          <w:szCs w:val="22"/>
        </w:rPr>
        <w:t xml:space="preserve">M. tuberculosis </w:t>
      </w:r>
      <w:r>
        <w:rPr>
          <w:sz w:val="22"/>
          <w:szCs w:val="22"/>
        </w:rPr>
        <w:t>passed all quality filters</w:t>
      </w:r>
      <w:r w:rsidR="00042012">
        <w:rPr>
          <w:sz w:val="22"/>
          <w:szCs w:val="22"/>
        </w:rPr>
        <w:t xml:space="preserve"> and represented single infections</w:t>
      </w:r>
      <w:r>
        <w:rPr>
          <w:sz w:val="22"/>
          <w:szCs w:val="22"/>
        </w:rPr>
        <w:t xml:space="preserve">. </w:t>
      </w:r>
    </w:p>
    <w:p w14:paraId="622AF9E6" w14:textId="25C1E0FF" w:rsidR="00B35450" w:rsidRDefault="00B35450">
      <w:pPr>
        <w:rPr>
          <w:b/>
          <w:bCs/>
          <w:sz w:val="22"/>
          <w:szCs w:val="22"/>
        </w:rPr>
      </w:pPr>
    </w:p>
    <w:p w14:paraId="19E15475" w14:textId="77777777" w:rsidR="00B35450" w:rsidRPr="00D64976" w:rsidRDefault="00B35450">
      <w:pPr>
        <w:rPr>
          <w:b/>
          <w:bCs/>
          <w:sz w:val="22"/>
          <w:szCs w:val="22"/>
        </w:rPr>
      </w:pPr>
    </w:p>
    <w:p w14:paraId="5542C818" w14:textId="18306241" w:rsidR="002F5F44" w:rsidRPr="002F5F44" w:rsidRDefault="002F5F44" w:rsidP="002F5F44">
      <w:r w:rsidRPr="002F5F44">
        <w:lastRenderedPageBreak/>
        <w:fldChar w:fldCharType="begin"/>
      </w:r>
      <w:r w:rsidRPr="002F5F44">
        <w:instrText xml:space="preserve"> INCLUDEPICTURE "https://ondemand.scg.stanford.edu/rnode/dper730xd-srcf-d16-19.scg.stanford.edu/13458/chunk_output/s/8DD71F27/cje79t6qro7mk/000012.png" \* MERGEFORMATINET </w:instrText>
      </w:r>
      <w:r w:rsidRPr="002F5F44">
        <w:fldChar w:fldCharType="separate"/>
      </w:r>
      <w:r w:rsidRPr="002F5F44">
        <w:rPr>
          <w:noProof/>
        </w:rPr>
        <mc:AlternateContent>
          <mc:Choice Requires="wps">
            <w:drawing>
              <wp:inline distT="0" distB="0" distL="0" distR="0" wp14:anchorId="0603A7A3" wp14:editId="444B4F5C">
                <wp:extent cx="302260" cy="30226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84F03" id="Rectangle 7"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rsidRPr="002F5F44">
        <w:fldChar w:fldCharType="end"/>
      </w:r>
    </w:p>
    <w:p w14:paraId="41942C37" w14:textId="637A9526" w:rsidR="002F5F44" w:rsidRPr="002F5F44" w:rsidRDefault="002F5F44" w:rsidP="002F5F44">
      <w:r w:rsidRPr="002F5F44">
        <w:fldChar w:fldCharType="begin"/>
      </w:r>
      <w:r w:rsidRPr="002F5F44">
        <w:instrText xml:space="preserve"> INCLUDEPICTURE "https://ondemand.scg.stanford.edu/rnode/dper730xd-srcf-d16-19.scg.stanford.edu/13458/chunk_output/s/8DD71F27/cje79t6qro7mk/000012.png" \* MERGEFORMATINET </w:instrText>
      </w:r>
      <w:r w:rsidRPr="002F5F44">
        <w:fldChar w:fldCharType="separate"/>
      </w:r>
      <w:r w:rsidRPr="002F5F44">
        <w:rPr>
          <w:noProof/>
        </w:rPr>
        <mc:AlternateContent>
          <mc:Choice Requires="wps">
            <w:drawing>
              <wp:inline distT="0" distB="0" distL="0" distR="0" wp14:anchorId="06D2019A" wp14:editId="59C7DD1D">
                <wp:extent cx="302260" cy="30226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A5D45A" id="Rectangle 8"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rsidRPr="002F5F44">
        <w:fldChar w:fldCharType="end"/>
      </w:r>
    </w:p>
    <w:p w14:paraId="136A81AB" w14:textId="2E0F88E0" w:rsidR="00D64976" w:rsidRDefault="00D64976" w:rsidP="00D64976">
      <w:pPr>
        <w:rPr>
          <w:b/>
          <w:bCs/>
        </w:rPr>
      </w:pPr>
    </w:p>
    <w:p w14:paraId="66674087" w14:textId="71696AEC" w:rsidR="002F5F44" w:rsidRPr="002F5F44" w:rsidRDefault="002F5F44" w:rsidP="002F5F44">
      <w:r w:rsidRPr="002F5F44">
        <w:fldChar w:fldCharType="begin"/>
      </w:r>
      <w:r w:rsidRPr="002F5F44">
        <w:instrText xml:space="preserve"> INCLUDEPICTURE "https://ondemand.scg.stanford.edu/rnode/dper730xd-srcf-d16-19.scg.stanford.edu/13458/chunk_output/s/8DD71F27/cje79t6qro7mk/000012.png" \* MERGEFORMATINET </w:instrText>
      </w:r>
      <w:r w:rsidRPr="002F5F44">
        <w:fldChar w:fldCharType="separate"/>
      </w:r>
      <w:r w:rsidRPr="002F5F44">
        <w:rPr>
          <w:noProof/>
        </w:rPr>
        <mc:AlternateContent>
          <mc:Choice Requires="wps">
            <w:drawing>
              <wp:inline distT="0" distB="0" distL="0" distR="0" wp14:anchorId="460C7166" wp14:editId="65724F92">
                <wp:extent cx="302260" cy="30226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7442F" id="Rectangle 9"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rsidRPr="002F5F44">
        <w:fldChar w:fldCharType="end"/>
      </w:r>
      <w:r>
        <w:rPr>
          <w:noProof/>
        </w:rPr>
        <w:drawing>
          <wp:inline distT="0" distB="0" distL="0" distR="0" wp14:anchorId="7437CE53" wp14:editId="0DFD5B83">
            <wp:extent cx="5943600" cy="445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04482378" w14:textId="77777777" w:rsidR="003C5DB1" w:rsidRDefault="003C5DB1" w:rsidP="00D64976">
      <w:pPr>
        <w:rPr>
          <w:b/>
          <w:bCs/>
        </w:rPr>
      </w:pPr>
    </w:p>
    <w:p w14:paraId="2EE1DE16" w14:textId="5E6FA6BD" w:rsidR="00D64976" w:rsidRPr="00D64976" w:rsidRDefault="00D64976" w:rsidP="00D64976">
      <w:r>
        <w:rPr>
          <w:b/>
          <w:bCs/>
        </w:rPr>
        <w:t>Figure S</w:t>
      </w:r>
      <w:r w:rsidR="00EF6BF0">
        <w:rPr>
          <w:b/>
          <w:bCs/>
        </w:rPr>
        <w:t>2</w:t>
      </w:r>
      <w:r>
        <w:rPr>
          <w:b/>
          <w:bCs/>
        </w:rPr>
        <w:t xml:space="preserve">. Longitudinal changes in sampled </w:t>
      </w:r>
      <w:r>
        <w:rPr>
          <w:b/>
          <w:bCs/>
          <w:i/>
          <w:iCs/>
        </w:rPr>
        <w:t xml:space="preserve">M. tuberculosis </w:t>
      </w:r>
      <w:r>
        <w:rPr>
          <w:b/>
          <w:bCs/>
        </w:rPr>
        <w:t xml:space="preserve">genomic diversity. </w:t>
      </w:r>
      <w:r>
        <w:t xml:space="preserve">We compared genomic diversity in our study (2016-2021) with that sampled in the only previous genetic study of </w:t>
      </w:r>
      <w:r>
        <w:rPr>
          <w:i/>
          <w:iCs/>
        </w:rPr>
        <w:t xml:space="preserve">M. tuberculosis </w:t>
      </w:r>
      <w:r>
        <w:t>in Paraguay</w:t>
      </w:r>
      <w:r w:rsidR="00FC54AC">
        <w:fldChar w:fldCharType="begin" w:fldLock="1"/>
      </w:r>
      <w:r w:rsidR="00FC54AC">
        <w:instrText>ADDIN CSL_CITATION {"citationItems":[{"id":"ITEM-1","itemData":{"DOI":"10.1186/1471-2180-7-75","ISSN":"14712180","PMID":"17686181","abstract":"Background. We present a picture of the biodiversity of Mycobacterium tuberculosis in Paraguay, an inland South American country harboring 5 million inhabitants with a tuberculosis notification rate of 38/100,000. Results. A total of 220 strains collected throughout the country in 2003 were classified by spoligotyping into 79 different patterns. Spoligopatterns of 173 strains matched 51 shared international types (SITs) already present in an updated version of SpolDB4, the global spoligotype database at Pasteur Institute, Guadeloupe. Our study contributed to the database 13 new SITs and 15 orphan spoligopatterns. Frequencies of major M. tuberculosis spoligotype lineages in our sample were as follows: Latin-American &amp; Mediterranean (LAM) 52.3%, Haarlem 18.2%, S clade 9.5%, T superfamily 8.6%, X clade 0.9% and Beijing clade 0.5%. Concordant clustering by IS6110 restriction fragment length polymorphism (RFLP) and spoligotyping identified transmission in specific settings such as the Tacumbu jail in Asuncion and aboriginal communities in the Chaco. LAM genotypes were ubiquitous and predominated among both RFLP clusters and new patterns, suggesting ongoing transmission and adaptative evolution in Paraguay. We describe a new and successfully evolving clone of the Haarlem 3 sub-lineage, SIT2643, which is thus far restricted to Paraguay. We confirmed its clonality by RFLP and mycobacterial interspersed repetitive unit (MIRU) typing; we named it \"Tacumbu\" after the jail where it was found to be spreading. One-fifth of the spoligopatterns in our study are rarely or never seen outside Paraguay and one-tenth do not fit within any of the major phylogenetic clades in SpolDB4. Conclusion. Lineages currently thriving in Paraguay may reflect local host-pathogen adaptation of strains introduced during past migrations from Europe. © 2007 Candia et al; licensee BioMed Central Ltd.","author":[{"dropping-particle":"","family":"Candia","given":"Norma","non-dropping-particle":"","parse-names":false,"suffix":""},{"dropping-particle":"","family":"Lopez","given":"Beatriz","non-dropping-particle":"","parse-names":false,"suffix":""},{"dropping-particle":"","family":"Zozio","given":"Thierry","non-dropping-particle":"","parse-names":false,"suffix":""},{"dropping-particle":"","family":"Carrivale","given":"Marcela","non-dropping-particle":"","parse-names":false,"suffix":""},{"dropping-particle":"","family":"Diaz","given":"Chyntia","non-dropping-particle":"","parse-names":false,"suffix":""},{"dropping-particle":"","family":"Russomando","given":"Graciela","non-dropping-particle":"","parse-names":false,"suffix":""},{"dropping-particle":"","family":"Romero","given":"Nilda J.","non-dropping-particle":"De","parse-names":false,"suffix":""},{"dropping-particle":"","family":"Jara","given":"Juan C.","non-dropping-particle":"","parse-names":false,"suffix":""},{"dropping-particle":"","family":"Barrera","given":"Lucia","non-dropping-particle":"","parse-names":false,"suffix":""},{"dropping-particle":"","family":"Rastogi","given":"Nalin","non-dropping-particle":"","parse-names":false,"suffix":""},{"dropping-particle":"","family":"Ritacco","given":"Viviana","non-dropping-particle":"","parse-names":false,"suffix":""}],"container-title":"BMC Microbiology","id":"ITEM-1","issue":"1","issued":{"date-parts":[["2007","8","8"]]},"page":"1-10","publisher":"BioMed Central Ltd.","title":"First insight into Mycobacterium tuberculosis genetic diversity in Paraguay","type":"article-journal","volume":"7"},"uris":["http://www.mendeley.com/documents/?uuid=b35aa389-637c-39a2-99ad-6c021520c319"]}],"mendeley":{"formattedCitation":"&lt;sup&gt;1&lt;/sup&gt;","plainTextFormattedCitation":"1"},"properties":{"noteIndex":0},"schema":"https://github.com/citation-style-language/schema/raw/master/csl-citation.json"}</w:instrText>
      </w:r>
      <w:r w:rsidR="00FC54AC">
        <w:fldChar w:fldCharType="separate"/>
      </w:r>
      <w:r w:rsidR="00FC54AC" w:rsidRPr="00FC54AC">
        <w:rPr>
          <w:noProof/>
          <w:vertAlign w:val="superscript"/>
        </w:rPr>
        <w:t>1</w:t>
      </w:r>
      <w:r w:rsidR="00FC54AC">
        <w:fldChar w:fldCharType="end"/>
      </w:r>
      <w:r>
        <w:t xml:space="preserve">. Stacked </w:t>
      </w:r>
      <w:r w:rsidR="006D3CF6">
        <w:t>bar plots</w:t>
      </w:r>
      <w:r>
        <w:t xml:space="preserve"> indicate the proportion of samples falling in each clade. From left to right, panels indicate the total diversity sampled, samples from Asunción, Ciudad del Este, and from the 2003 study. Panels from the current study are stratified by incarceration status at the time of TB notification; the 2003 study did not present data stratified by incarceration status. </w:t>
      </w:r>
    </w:p>
    <w:p w14:paraId="74CCA02B" w14:textId="6EBDE309" w:rsidR="00D64976" w:rsidRPr="00D64976" w:rsidRDefault="00D64976">
      <w:pPr>
        <w:rPr>
          <w:b/>
          <w:bCs/>
          <w:sz w:val="22"/>
          <w:szCs w:val="22"/>
        </w:rPr>
      </w:pPr>
      <w:r>
        <w:rPr>
          <w:b/>
          <w:bCs/>
          <w:sz w:val="22"/>
          <w:szCs w:val="22"/>
        </w:rPr>
        <w:br w:type="page"/>
      </w:r>
    </w:p>
    <w:p w14:paraId="70393F9D" w14:textId="1003DB64" w:rsidR="002B2D22" w:rsidRDefault="00EF6BF0">
      <w:pPr>
        <w:rPr>
          <w:b/>
          <w:bCs/>
          <w:sz w:val="22"/>
          <w:szCs w:val="22"/>
        </w:rPr>
      </w:pPr>
      <w:r>
        <w:rPr>
          <w:b/>
          <w:bCs/>
          <w:noProof/>
          <w:sz w:val="22"/>
          <w:szCs w:val="22"/>
        </w:rPr>
        <w:lastRenderedPageBreak/>
        <w:drawing>
          <wp:inline distT="0" distB="0" distL="0" distR="0" wp14:anchorId="477C5109" wp14:editId="546D6916">
            <wp:extent cx="5943600" cy="594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7F044671" w14:textId="77777777" w:rsidR="003C5DB1" w:rsidRPr="00D64976" w:rsidRDefault="003C5DB1">
      <w:pPr>
        <w:rPr>
          <w:b/>
          <w:bCs/>
          <w:sz w:val="22"/>
          <w:szCs w:val="22"/>
        </w:rPr>
      </w:pPr>
    </w:p>
    <w:p w14:paraId="687CB598" w14:textId="21CB3220" w:rsidR="00D64976" w:rsidRPr="00D64976" w:rsidRDefault="00CE2544" w:rsidP="00D64976">
      <w:pPr>
        <w:rPr>
          <w:sz w:val="22"/>
          <w:szCs w:val="22"/>
        </w:rPr>
      </w:pPr>
      <w:r w:rsidRPr="00D64976">
        <w:rPr>
          <w:b/>
          <w:bCs/>
          <w:sz w:val="22"/>
          <w:szCs w:val="22"/>
        </w:rPr>
        <w:t>Figure S</w:t>
      </w:r>
      <w:r w:rsidR="00EF6BF0">
        <w:rPr>
          <w:b/>
          <w:bCs/>
          <w:sz w:val="22"/>
          <w:szCs w:val="22"/>
        </w:rPr>
        <w:t>3</w:t>
      </w:r>
      <w:r w:rsidRPr="00D64976">
        <w:rPr>
          <w:b/>
          <w:bCs/>
          <w:sz w:val="22"/>
          <w:szCs w:val="22"/>
        </w:rPr>
        <w:t>. Time-scaled haplotype density</w:t>
      </w:r>
      <w:r w:rsidR="00D64976" w:rsidRPr="00D64976">
        <w:rPr>
          <w:b/>
          <w:bCs/>
          <w:sz w:val="22"/>
          <w:szCs w:val="22"/>
        </w:rPr>
        <w:t xml:space="preserve"> by incarceration status at the time of TB notification. </w:t>
      </w:r>
      <w:r w:rsidR="00D64976" w:rsidRPr="00D64976">
        <w:rPr>
          <w:rFonts w:ascii="Times" w:eastAsia="STSong" w:hAnsi="Times"/>
          <w:sz w:val="22"/>
          <w:szCs w:val="22"/>
        </w:rPr>
        <w:t xml:space="preserve">We measured time-scaled haplotype </w:t>
      </w:r>
      <w:r w:rsidR="00530446">
        <w:rPr>
          <w:rFonts w:ascii="Times" w:eastAsia="STSong" w:hAnsi="Times"/>
          <w:sz w:val="22"/>
          <w:szCs w:val="22"/>
        </w:rPr>
        <w:t>density</w:t>
      </w:r>
      <w:r w:rsidR="00D64976" w:rsidRPr="00D64976">
        <w:rPr>
          <w:rFonts w:ascii="Times" w:eastAsia="STSong" w:hAnsi="Times"/>
          <w:sz w:val="22"/>
          <w:szCs w:val="22"/>
        </w:rPr>
        <w:t>, a measure of the centrality of a single tip isolate to all other isolates on the tree, a proxy for recent transmission that considers not only the nearest phylogenetic neighbor, but all tree trips.</w:t>
      </w:r>
      <w:r w:rsidR="00D64976" w:rsidRPr="00D64976">
        <w:rPr>
          <w:sz w:val="22"/>
          <w:szCs w:val="22"/>
        </w:rPr>
        <w:t xml:space="preserve"> </w:t>
      </w:r>
      <w:r w:rsidR="00D64976" w:rsidRPr="00D64976">
        <w:rPr>
          <w:rFonts w:ascii="Times" w:eastAsia="STSong" w:hAnsi="Times"/>
          <w:sz w:val="22"/>
          <w:szCs w:val="22"/>
        </w:rPr>
        <w:t xml:space="preserve">We calculated time-scaled haplotype density from a matrix of pairwise SNP distances with the R package </w:t>
      </w:r>
      <w:r w:rsidR="00D64976" w:rsidRPr="00D64976">
        <w:rPr>
          <w:rFonts w:ascii="Times" w:eastAsia="STSong" w:hAnsi="Times"/>
          <w:i/>
          <w:iCs/>
          <w:sz w:val="22"/>
          <w:szCs w:val="22"/>
        </w:rPr>
        <w:t>thd</w:t>
      </w:r>
      <w:r w:rsidR="00D64976" w:rsidRPr="00D64976">
        <w:rPr>
          <w:rFonts w:ascii="Times" w:eastAsia="STSong" w:hAnsi="Times"/>
          <w:sz w:val="22"/>
          <w:szCs w:val="22"/>
        </w:rPr>
        <w:t xml:space="preserve"> as previously described</w:t>
      </w:r>
      <w:r w:rsidR="00D64976" w:rsidRPr="00D64976">
        <w:rPr>
          <w:rFonts w:ascii="Times" w:eastAsia="STSong" w:hAnsi="Times"/>
          <w:sz w:val="22"/>
          <w:szCs w:val="22"/>
        </w:rPr>
        <w:fldChar w:fldCharType="begin" w:fldLock="1"/>
      </w:r>
      <w:r w:rsidR="00FC54AC">
        <w:rPr>
          <w:rFonts w:ascii="Times" w:eastAsia="STSong" w:hAnsi="Times"/>
          <w:sz w:val="22"/>
          <w:szCs w:val="22"/>
        </w:rPr>
        <w:instrText>ADDIN CSL_CITATION {"citationItems":[{"id":"ITEM-1","itemData":{"DOI":"10.1038/srep45326","ISSN":"2045-2322","PMID":"28349973","abstract":"The transmission dynamics of tuberculosis involves complex interactions of socio-economic and, possibly, microbiological factors. We describe an analytical framework to infer factors of epidemic success based on the joint analysis of epidemiological, clinical and pathogen genetic data. We derive isolate-specific, genetic distance-based estimates of epidemic success, and we represent success-related time-dependent concepts, namely epidemicity and endemicity, by restricting analysis to specific time scales. The method is applied to analyze a surveillance-based cohort of 1,641 tuberculosis patients with minisatellite-based isolate genotypes. Known predictors of isolate endemicity (older age, native status) and epidemicity (younger age, sputum smear positivity) were identified with high confidence (P</w:instrText>
      </w:r>
      <w:r w:rsidR="00FC54AC">
        <w:rPr>
          <w:rFonts w:eastAsia="STSong"/>
          <w:sz w:val="22"/>
          <w:szCs w:val="22"/>
        </w:rPr>
        <w:instrText> </w:instrText>
      </w:r>
      <w:r w:rsidR="00FC54AC">
        <w:rPr>
          <w:rFonts w:ascii="Times" w:eastAsia="STSong" w:hAnsi="Times"/>
          <w:sz w:val="22"/>
          <w:szCs w:val="22"/>
        </w:rPr>
        <w:instrText>&amp;lt;</w:instrText>
      </w:r>
      <w:r w:rsidR="00FC54AC">
        <w:rPr>
          <w:rFonts w:eastAsia="STSong"/>
          <w:sz w:val="22"/>
          <w:szCs w:val="22"/>
        </w:rPr>
        <w:instrText> </w:instrText>
      </w:r>
      <w:r w:rsidR="00FC54AC">
        <w:rPr>
          <w:rFonts w:ascii="Times" w:eastAsia="STSong" w:hAnsi="Times"/>
          <w:sz w:val="22"/>
          <w:szCs w:val="22"/>
        </w:rPr>
        <w:instrText>0.001). Long-term epidemic success also correlated with the ability of Euro-American and Beijing MTBC lineages to cause active pulmonary infection, independent of patient age and country of origin. Our results demonstrate how important insights into the transmission dynamics of tuberculosis can be gained from active surveillance data.","author":[{"dropping-particle":"","family":"Rasigade","given":"Jean Philippe","non-dropping-particle":"","parse-names":false,"suffix":""},{"dropping-particle":"","family":"Barbier","given":"Maxime","non-dropping-particle":"","parse-names":false,"suffix":""},{"dropping-particle":"","family":"Dumitrescu","given":"Oana","non-dropping-particle":"","parse-names":false,"suffix":""},{"dropping-particle":"","family":"Pichat","given":"Catherine","non-dropping-particle":"","parse-names":false,"suffix":""},{"dropping-particle":"","family":"Carret","given":"Gérard","non-dropping-particle":"","parse-names":false,"suffix":""},{"dropping-particle":"","family":"Ronnaux-Baron","given":"Anne Sophie","non-dropping-particle":"","parse-names":false,"suffix":""},{"dropping-particle":"","family":"Blasquez","given":"Ghislaine","non-dropping-particle":"","parse-names":false,"suffix":""},{"dropping-particle":"","family":"Godin-Benhaim","given":"Christine","non-dropping-particle":"","parse-names":false,"suffix":""},{"dropping-particle":"","family":"Boisset","given":"Sandrine","non-dropping-particle":"","parse-names":false,"suffix":""},{"dropping-particle":"","family":"Carricajo","given":"Anne","non-dropping-particle":"","parse-names":false,"suffix":""},{"dropping-particle":"","family":"Jacomo","given":"Véronique","non-dropping-particle":"","parse-names":false,"suffix":""},{"dropping-particle":"","family":"Fredenucci","given":"Isabelle","non-dropping-particle":"","parse-names":false,"suffix":""},{"dropping-particle":"","family":"Pérouse De Montclos","given":"Michèle","non-dropping-particle":"","parse-names":false,"suffix":""},{"dropping-particle":"","family":"Flandrois","given":"Jean Pierre","non-dropping-particle":"","parse-names":false,"suffix":""},{"dropping-particle":"","family":"Ader","given":"Florence","non-dropping-particle":"","parse-names":false,"suffix":""},{"dropping-particle":"","family":"Supply","given":"Philip","non-dropping-particle":"","parse-names":false,"suffix":""},{"dropping-particle":"","family":"Lina","given":"Gérard","non-dropping-particle":"","parse-names":false,"suffix":""},{"dropping-particle":"","family":"Wirth","given":"Thierry","non-dropping-particle":"","parse-names":false,"suffix":""}],"container-title":"Scientific Reports 2017 7:1","id":"ITEM-1","issue":"1","issued":{"date-parts":[["2017","3","28"]]},"page":"1-12","publisher":"Nature Publishing Group","title":"Strain-specific estimation of epidemic success provides insights into the transmission dynamics of tuberculosis","type":"article-journal","volume":"7"},"uris":["http://www.mendeley.com/documents/?uuid=445a959e-8848-3ef7-bd26-a6b6987fc6c5"]}],"mendeley":{"formattedCitation":"&lt;sup&gt;2&lt;/sup&gt;","plainTextFormattedCitation":"2","previouslyFormattedCitation":"&lt;sup&gt;53&lt;/sup&gt;"},"properties":{"noteIndex":0},"schema":"https://github.com/citation-style-language/schema/raw/master/csl-citation.json"}</w:instrText>
      </w:r>
      <w:r w:rsidR="00D64976" w:rsidRPr="00D64976">
        <w:rPr>
          <w:rFonts w:ascii="Times" w:eastAsia="STSong" w:hAnsi="Times"/>
          <w:sz w:val="22"/>
          <w:szCs w:val="22"/>
        </w:rPr>
        <w:fldChar w:fldCharType="separate"/>
      </w:r>
      <w:r w:rsidR="00FC54AC" w:rsidRPr="00FC54AC">
        <w:rPr>
          <w:rFonts w:ascii="Times" w:eastAsia="STSong" w:hAnsi="Times"/>
          <w:noProof/>
          <w:sz w:val="22"/>
          <w:szCs w:val="22"/>
          <w:vertAlign w:val="superscript"/>
        </w:rPr>
        <w:t>2</w:t>
      </w:r>
      <w:r w:rsidR="00D64976" w:rsidRPr="00D64976">
        <w:rPr>
          <w:rFonts w:ascii="Times" w:eastAsia="STSong" w:hAnsi="Times"/>
          <w:sz w:val="22"/>
          <w:szCs w:val="22"/>
        </w:rPr>
        <w:fldChar w:fldCharType="end"/>
      </w:r>
      <w:r w:rsidR="00D64976" w:rsidRPr="00D64976">
        <w:rPr>
          <w:rFonts w:ascii="Times" w:eastAsia="STSong" w:hAnsi="Times"/>
          <w:sz w:val="22"/>
          <w:szCs w:val="22"/>
        </w:rPr>
        <w:t xml:space="preserve">. We set the </w:t>
      </w:r>
      <w:r w:rsidR="00D64976" w:rsidRPr="00D64976">
        <w:rPr>
          <w:rFonts w:ascii="Times" w:eastAsia="STSong" w:hAnsi="Times"/>
          <w:i/>
          <w:iCs/>
          <w:sz w:val="22"/>
          <w:szCs w:val="22"/>
        </w:rPr>
        <w:t xml:space="preserve">M. tuberculosis </w:t>
      </w:r>
      <w:r w:rsidR="00D64976" w:rsidRPr="00D64976">
        <w:rPr>
          <w:rFonts w:ascii="Times" w:eastAsia="STSong" w:hAnsi="Times"/>
          <w:sz w:val="22"/>
          <w:szCs w:val="22"/>
        </w:rPr>
        <w:t>substitution rate to 1x10</w:t>
      </w:r>
      <w:r w:rsidR="00D64976" w:rsidRPr="00D64976">
        <w:rPr>
          <w:rFonts w:ascii="Times" w:eastAsia="STSong" w:hAnsi="Times"/>
          <w:sz w:val="22"/>
          <w:szCs w:val="22"/>
          <w:vertAlign w:val="superscript"/>
        </w:rPr>
        <w:t>-7</w:t>
      </w:r>
      <w:r w:rsidR="00D64976" w:rsidRPr="00D64976">
        <w:rPr>
          <w:rFonts w:ascii="Times" w:eastAsia="STSong" w:hAnsi="Times"/>
          <w:sz w:val="22"/>
          <w:szCs w:val="22"/>
        </w:rPr>
        <w:t xml:space="preserve"> substitutions per site per year and included an effective genome length of 3,916,441 basepairs (the length of the reference genome minus the PE/PPE regions excluded from variant calling) and used short (</w:t>
      </w:r>
      <w:r w:rsidR="003C5DB1">
        <w:rPr>
          <w:rFonts w:ascii="Times" w:eastAsia="STSong" w:hAnsi="Times"/>
          <w:sz w:val="22"/>
          <w:szCs w:val="22"/>
        </w:rPr>
        <w:t>10</w:t>
      </w:r>
      <w:r w:rsidR="00D64976" w:rsidRPr="00D64976">
        <w:rPr>
          <w:rFonts w:ascii="Times" w:eastAsia="STSong" w:hAnsi="Times"/>
          <w:sz w:val="22"/>
          <w:szCs w:val="22"/>
        </w:rPr>
        <w:t xml:space="preserve"> year) and long (20 year) epidemic timescale</w:t>
      </w:r>
      <w:r w:rsidR="003C5DB1">
        <w:rPr>
          <w:rFonts w:ascii="Times" w:eastAsia="STSong" w:hAnsi="Times"/>
          <w:sz w:val="22"/>
          <w:szCs w:val="22"/>
        </w:rPr>
        <w:t>s</w:t>
      </w:r>
      <w:r w:rsidR="00D64976" w:rsidRPr="00D64976">
        <w:rPr>
          <w:rFonts w:ascii="Times" w:eastAsia="STSong" w:hAnsi="Times"/>
          <w:sz w:val="22"/>
          <w:szCs w:val="22"/>
        </w:rPr>
        <w:t xml:space="preserve">. </w:t>
      </w:r>
      <w:r w:rsidR="00D64976" w:rsidRPr="00D64976">
        <w:rPr>
          <w:sz w:val="22"/>
          <w:szCs w:val="22"/>
        </w:rPr>
        <w:t>Boxplots are colored by incarceration status at the time</w:t>
      </w:r>
      <w:r w:rsidR="00530446">
        <w:rPr>
          <w:sz w:val="22"/>
          <w:szCs w:val="22"/>
        </w:rPr>
        <w:t xml:space="preserve"> </w:t>
      </w:r>
      <w:r w:rsidR="00D64976" w:rsidRPr="00D64976">
        <w:rPr>
          <w:sz w:val="22"/>
          <w:szCs w:val="22"/>
        </w:rPr>
        <w:t>of TB notification</w:t>
      </w:r>
      <w:r w:rsidR="00530446">
        <w:rPr>
          <w:sz w:val="22"/>
          <w:szCs w:val="22"/>
        </w:rPr>
        <w:t xml:space="preserve"> and include isolates from n=31 formerly incarcerated individuals, n=149 currently incarcerated, and n=291 never incarcerated individuals. </w:t>
      </w:r>
      <w:r w:rsidR="00D64976" w:rsidRPr="00D64976">
        <w:rPr>
          <w:sz w:val="22"/>
          <w:szCs w:val="22"/>
        </w:rPr>
        <w:t xml:space="preserve">Boxes indicate the interquartile range, lines indicate median values, and whiskers indicate the range of the data. Points outside the whiskers indicate outliers. </w:t>
      </w:r>
    </w:p>
    <w:p w14:paraId="134F7910" w14:textId="77777777" w:rsidR="00D64976" w:rsidRDefault="00D64976" w:rsidP="00D64976">
      <w:pPr>
        <w:rPr>
          <w:b/>
          <w:bCs/>
        </w:rPr>
      </w:pPr>
    </w:p>
    <w:p w14:paraId="34B4A2EB" w14:textId="3CB6DA45" w:rsidR="00065D24" w:rsidRDefault="00785A2D">
      <w:r>
        <w:rPr>
          <w:b/>
          <w:bCs/>
        </w:rPr>
        <w:lastRenderedPageBreak/>
        <w:t xml:space="preserve">Table S1. Performance metrics. </w:t>
      </w:r>
      <w:r w:rsidR="00562D84">
        <w:t>Performance benchmarking of our pipeline in recovering single nucleotide polymorphisms (SNPs) in simulated Illumina sequence data. For each Metric, the number of simulated sequence sets</w:t>
      </w:r>
      <w:r w:rsidR="00630F75">
        <w:t xml:space="preserve"> (Replicates),</w:t>
      </w:r>
      <w:r w:rsidR="00562D84">
        <w:t xml:space="preserve"> the mean, median, and standard deviation. True variants indicates the number of “true” SNP variants identified through pairwise alignment of </w:t>
      </w:r>
      <w:r w:rsidR="00562D84" w:rsidRPr="00562D84">
        <w:t>the query genome (strain CDC1551) to H37Rv with MUMmer</w:t>
      </w:r>
      <w:r w:rsidR="00562D84" w:rsidRPr="00562D84">
        <w:fldChar w:fldCharType="begin" w:fldLock="1"/>
      </w:r>
      <w:r w:rsidR="00FC54AC">
        <w:instrText>ADDIN CSL_CITATION {"citationItems":[{"id":"ITEM-1","itemData":{"DOI":"10.1186/gb-2004-5-2-r12","ISSN":"14656906","PMID":"14759262","abstract":"The newest version of MUMmer easily handles comparisons of large eukaryotic genomes at varying evolutionary distances, as demonstrated by applications to multiple genomes. Two new graphical viewing tools provide alternative ways to analyze genome alignments. The new system is the first version of MUMmer to be released as open-source software. This allows other developers to contribute to the code base and freely redistribute the code. The MUMmer sources are available at http://www.tigr.org/software/mummer.","author":[{"dropping-particle":"","family":"Kurtz","given":"Stefan","non-dropping-particle":"","parse-names":false,"suffix":""},{"dropping-particle":"","family":"Phillippy","given":"Adam","non-dropping-particle":"","parse-names":false,"suffix":""},{"dropping-particle":"","family":"Delcher","given":"Arthur L","non-dropping-particle":"","parse-names":false,"suffix":""},{"dropping-particle":"","family":"Smoot","given":"Michael","non-dropping-particle":"","parse-names":false,"suffix":""},{"dropping-particle":"","family":"Shumway","given":"Martin","non-dropping-particle":"","parse-names":false,"suffix":""},{"dropping-particle":"","family":"Antonescu","given":"Corina","non-dropping-particle":"","parse-names":false,"suffix":""},{"dropping-particle":"","family":"Salzberg","given":"Steven L","non-dropping-particle":"","parse-names":false,"suffix":""}],"container-title":"Genome Biology","id":"ITEM-1","issue":"2","issued":{"date-parts":[["2004"]]},"page":"R12","title":"Versatile and open software for comparing large genomes.","type":"article-journal","volume":"5"},"uris":["http://www.mendeley.com/documents/?uuid=fcf24d63-8d4d-32f0-b545-7b611f46f0bf"]}],"mendeley":{"formattedCitation":"&lt;sup&gt;3&lt;/sup&gt;","plainTextFormattedCitation":"3","previouslyFormattedCitation":"&lt;sup&gt;28&lt;/sup&gt;"},"properties":{"noteIndex":0},"schema":"https://github.com/citation-style-language/schema/raw/master/csl-citation.json"}</w:instrText>
      </w:r>
      <w:r w:rsidR="00562D84" w:rsidRPr="00562D84">
        <w:fldChar w:fldCharType="separate"/>
      </w:r>
      <w:r w:rsidR="00FC54AC" w:rsidRPr="00FC54AC">
        <w:rPr>
          <w:noProof/>
          <w:vertAlign w:val="superscript"/>
        </w:rPr>
        <w:t>3</w:t>
      </w:r>
      <w:r w:rsidR="00562D84" w:rsidRPr="00562D84">
        <w:fldChar w:fldCharType="end"/>
      </w:r>
      <w:r w:rsidR="00562D84" w:rsidRPr="00562D84">
        <w:t xml:space="preserve"> (</w:t>
      </w:r>
      <w:r w:rsidR="00562D84" w:rsidRPr="00562D84">
        <w:rPr>
          <w:i/>
          <w:iCs/>
        </w:rPr>
        <w:t>nucmer maxmatch -c 1500</w:t>
      </w:r>
      <w:r w:rsidR="00562D84" w:rsidRPr="00562D84">
        <w:t>). We identified SNP variants from the pairwise alignments using MUMmer </w:t>
      </w:r>
      <w:r w:rsidR="00562D84" w:rsidRPr="00562D84">
        <w:rPr>
          <w:i/>
          <w:iCs/>
        </w:rPr>
        <w:t>show-snps</w:t>
      </w:r>
      <w:r w:rsidR="00562D84" w:rsidRPr="00562D84">
        <w:t>, excluding SNPs with ambiguous mapping and indels (</w:t>
      </w:r>
      <w:r w:rsidR="00562D84" w:rsidRPr="00562D84">
        <w:rPr>
          <w:i/>
          <w:iCs/>
        </w:rPr>
        <w:t>show-snps -CIr</w:t>
      </w:r>
      <w:r w:rsidR="00562D84" w:rsidRPr="00562D84">
        <w:t xml:space="preserve">). True positives and false positives indicate the number of true or false positive SNPs, respectively, identified by our algorithm. </w:t>
      </w:r>
      <w:r w:rsidR="00562D84">
        <w:t xml:space="preserve">Region indicates whether the PE/PPE genes were excluded from analysis (No PE/PPE) or whether the statistic refers to the full-length </w:t>
      </w:r>
      <w:r w:rsidR="00562D84" w:rsidRPr="00562D84">
        <w:t xml:space="preserve">M. tuberculosis </w:t>
      </w:r>
      <w:r w:rsidR="00562D84">
        <w:t xml:space="preserve">genome (Genome). </w:t>
      </w:r>
      <w:r w:rsidR="00630F75">
        <w:t>In the analysis presented in this paper, we excluded the PE/PPE genes</w:t>
      </w:r>
      <w:r w:rsidR="00BA04EB">
        <w:t xml:space="preserve"> in order to maximize precision.</w:t>
      </w:r>
    </w:p>
    <w:p w14:paraId="274B4D5B" w14:textId="77777777" w:rsidR="00562D84" w:rsidRPr="00562D84" w:rsidRDefault="00562D84"/>
    <w:tbl>
      <w:tblPr>
        <w:tblStyle w:val="GridTable4"/>
        <w:tblW w:w="0" w:type="auto"/>
        <w:tblLook w:val="04A0" w:firstRow="1" w:lastRow="0" w:firstColumn="1" w:lastColumn="0" w:noHBand="0" w:noVBand="1"/>
      </w:tblPr>
      <w:tblGrid>
        <w:gridCol w:w="1783"/>
        <w:gridCol w:w="1390"/>
        <w:gridCol w:w="1116"/>
        <w:gridCol w:w="1123"/>
        <w:gridCol w:w="1263"/>
        <w:gridCol w:w="1450"/>
      </w:tblGrid>
      <w:tr w:rsidR="00785A2D" w:rsidRPr="00785A2D" w14:paraId="59429541" w14:textId="77777777" w:rsidTr="00562D8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83" w:type="dxa"/>
            <w:noWrap/>
            <w:hideMark/>
          </w:tcPr>
          <w:p w14:paraId="192208E2" w14:textId="27CC5949" w:rsidR="00785A2D" w:rsidRPr="00785A2D" w:rsidRDefault="00562D84">
            <w:r>
              <w:t>Metric</w:t>
            </w:r>
          </w:p>
        </w:tc>
        <w:tc>
          <w:tcPr>
            <w:tcW w:w="1390" w:type="dxa"/>
            <w:noWrap/>
            <w:hideMark/>
          </w:tcPr>
          <w:p w14:paraId="49BB8C9C" w14:textId="77777777" w:rsidR="00785A2D" w:rsidRPr="00785A2D" w:rsidRDefault="00785A2D">
            <w:pPr>
              <w:cnfStyle w:val="100000000000" w:firstRow="1" w:lastRow="0" w:firstColumn="0" w:lastColumn="0" w:oddVBand="0" w:evenVBand="0" w:oddHBand="0" w:evenHBand="0" w:firstRowFirstColumn="0" w:firstRowLastColumn="0" w:lastRowFirstColumn="0" w:lastRowLastColumn="0"/>
            </w:pPr>
            <w:r w:rsidRPr="00785A2D">
              <w:t>Replicates</w:t>
            </w:r>
          </w:p>
        </w:tc>
        <w:tc>
          <w:tcPr>
            <w:tcW w:w="1116" w:type="dxa"/>
            <w:noWrap/>
            <w:hideMark/>
          </w:tcPr>
          <w:p w14:paraId="3B0E1397" w14:textId="77777777" w:rsidR="00785A2D" w:rsidRPr="00785A2D" w:rsidRDefault="00785A2D">
            <w:pPr>
              <w:cnfStyle w:val="100000000000" w:firstRow="1" w:lastRow="0" w:firstColumn="0" w:lastColumn="0" w:oddVBand="0" w:evenVBand="0" w:oddHBand="0" w:evenHBand="0" w:firstRowFirstColumn="0" w:firstRowLastColumn="0" w:lastRowFirstColumn="0" w:lastRowLastColumn="0"/>
            </w:pPr>
            <w:r w:rsidRPr="00785A2D">
              <w:t>Mean</w:t>
            </w:r>
          </w:p>
        </w:tc>
        <w:tc>
          <w:tcPr>
            <w:tcW w:w="1123" w:type="dxa"/>
            <w:noWrap/>
            <w:hideMark/>
          </w:tcPr>
          <w:p w14:paraId="2612564F" w14:textId="77777777" w:rsidR="00785A2D" w:rsidRPr="00785A2D" w:rsidRDefault="00785A2D">
            <w:pPr>
              <w:cnfStyle w:val="100000000000" w:firstRow="1" w:lastRow="0" w:firstColumn="0" w:lastColumn="0" w:oddVBand="0" w:evenVBand="0" w:oddHBand="0" w:evenHBand="0" w:firstRowFirstColumn="0" w:firstRowLastColumn="0" w:lastRowFirstColumn="0" w:lastRowLastColumn="0"/>
            </w:pPr>
            <w:r w:rsidRPr="00785A2D">
              <w:t>Median</w:t>
            </w:r>
          </w:p>
        </w:tc>
        <w:tc>
          <w:tcPr>
            <w:tcW w:w="1263" w:type="dxa"/>
            <w:noWrap/>
            <w:hideMark/>
          </w:tcPr>
          <w:p w14:paraId="2885CEFF" w14:textId="77777777" w:rsidR="00785A2D" w:rsidRPr="00785A2D" w:rsidRDefault="00785A2D">
            <w:pPr>
              <w:cnfStyle w:val="100000000000" w:firstRow="1" w:lastRow="0" w:firstColumn="0" w:lastColumn="0" w:oddVBand="0" w:evenVBand="0" w:oddHBand="0" w:evenHBand="0" w:firstRowFirstColumn="0" w:firstRowLastColumn="0" w:lastRowFirstColumn="0" w:lastRowLastColumn="0"/>
            </w:pPr>
            <w:r w:rsidRPr="00785A2D">
              <w:t>Std. Dev.</w:t>
            </w:r>
          </w:p>
        </w:tc>
        <w:tc>
          <w:tcPr>
            <w:tcW w:w="1450" w:type="dxa"/>
            <w:noWrap/>
            <w:hideMark/>
          </w:tcPr>
          <w:p w14:paraId="3062CC41" w14:textId="77777777" w:rsidR="00785A2D" w:rsidRPr="00785A2D" w:rsidRDefault="00785A2D">
            <w:pPr>
              <w:cnfStyle w:val="100000000000" w:firstRow="1" w:lastRow="0" w:firstColumn="0" w:lastColumn="0" w:oddVBand="0" w:evenVBand="0" w:oddHBand="0" w:evenHBand="0" w:firstRowFirstColumn="0" w:firstRowLastColumn="0" w:lastRowFirstColumn="0" w:lastRowLastColumn="0"/>
            </w:pPr>
            <w:r w:rsidRPr="00785A2D">
              <w:t>Region</w:t>
            </w:r>
          </w:p>
        </w:tc>
      </w:tr>
      <w:tr w:rsidR="00785A2D" w:rsidRPr="00785A2D" w14:paraId="661F59DB" w14:textId="77777777" w:rsidTr="00562D8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83" w:type="dxa"/>
            <w:noWrap/>
            <w:hideMark/>
          </w:tcPr>
          <w:p w14:paraId="6A64CEEE" w14:textId="77777777" w:rsidR="00785A2D" w:rsidRPr="00785A2D" w:rsidRDefault="00785A2D">
            <w:r w:rsidRPr="00785A2D">
              <w:t>True variants</w:t>
            </w:r>
          </w:p>
        </w:tc>
        <w:tc>
          <w:tcPr>
            <w:tcW w:w="1390" w:type="dxa"/>
            <w:noWrap/>
            <w:hideMark/>
          </w:tcPr>
          <w:p w14:paraId="38636504"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20</w:t>
            </w:r>
          </w:p>
        </w:tc>
        <w:tc>
          <w:tcPr>
            <w:tcW w:w="1116" w:type="dxa"/>
            <w:noWrap/>
            <w:hideMark/>
          </w:tcPr>
          <w:p w14:paraId="58271B26"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924.00</w:t>
            </w:r>
          </w:p>
        </w:tc>
        <w:tc>
          <w:tcPr>
            <w:tcW w:w="1123" w:type="dxa"/>
            <w:noWrap/>
            <w:hideMark/>
          </w:tcPr>
          <w:p w14:paraId="6F4972B1"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924.00</w:t>
            </w:r>
          </w:p>
        </w:tc>
        <w:tc>
          <w:tcPr>
            <w:tcW w:w="1263" w:type="dxa"/>
            <w:noWrap/>
            <w:hideMark/>
          </w:tcPr>
          <w:p w14:paraId="6FC1F419"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0.00</w:t>
            </w:r>
          </w:p>
        </w:tc>
        <w:tc>
          <w:tcPr>
            <w:tcW w:w="1450" w:type="dxa"/>
            <w:noWrap/>
            <w:hideMark/>
          </w:tcPr>
          <w:p w14:paraId="7EBE5066" w14:textId="77777777" w:rsidR="00785A2D" w:rsidRPr="00785A2D" w:rsidRDefault="00785A2D">
            <w:pPr>
              <w:cnfStyle w:val="000000100000" w:firstRow="0" w:lastRow="0" w:firstColumn="0" w:lastColumn="0" w:oddVBand="0" w:evenVBand="0" w:oddHBand="1" w:evenHBand="0" w:firstRowFirstColumn="0" w:firstRowLastColumn="0" w:lastRowFirstColumn="0" w:lastRowLastColumn="0"/>
            </w:pPr>
            <w:r w:rsidRPr="00785A2D">
              <w:t>No PE/PPE</w:t>
            </w:r>
          </w:p>
        </w:tc>
      </w:tr>
      <w:tr w:rsidR="00785A2D" w:rsidRPr="00785A2D" w14:paraId="70EC558F" w14:textId="77777777" w:rsidTr="00562D84">
        <w:trPr>
          <w:trHeight w:val="320"/>
        </w:trPr>
        <w:tc>
          <w:tcPr>
            <w:cnfStyle w:val="001000000000" w:firstRow="0" w:lastRow="0" w:firstColumn="1" w:lastColumn="0" w:oddVBand="0" w:evenVBand="0" w:oddHBand="0" w:evenHBand="0" w:firstRowFirstColumn="0" w:firstRowLastColumn="0" w:lastRowFirstColumn="0" w:lastRowLastColumn="0"/>
            <w:tcW w:w="1783" w:type="dxa"/>
            <w:noWrap/>
            <w:hideMark/>
          </w:tcPr>
          <w:p w14:paraId="5BC709B0" w14:textId="25E8EA19" w:rsidR="00785A2D" w:rsidRPr="00785A2D" w:rsidRDefault="00785A2D">
            <w:r w:rsidRPr="00785A2D">
              <w:t>T</w:t>
            </w:r>
            <w:r w:rsidR="00562D84">
              <w:t>rue positives</w:t>
            </w:r>
          </w:p>
        </w:tc>
        <w:tc>
          <w:tcPr>
            <w:tcW w:w="1390" w:type="dxa"/>
            <w:noWrap/>
            <w:hideMark/>
          </w:tcPr>
          <w:p w14:paraId="7DCB8AB0"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20</w:t>
            </w:r>
          </w:p>
        </w:tc>
        <w:tc>
          <w:tcPr>
            <w:tcW w:w="1116" w:type="dxa"/>
            <w:noWrap/>
            <w:hideMark/>
          </w:tcPr>
          <w:p w14:paraId="04947568"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845.40</w:t>
            </w:r>
          </w:p>
        </w:tc>
        <w:tc>
          <w:tcPr>
            <w:tcW w:w="1123" w:type="dxa"/>
            <w:noWrap/>
            <w:hideMark/>
          </w:tcPr>
          <w:p w14:paraId="4E68C6CF"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845.00</w:t>
            </w:r>
          </w:p>
        </w:tc>
        <w:tc>
          <w:tcPr>
            <w:tcW w:w="1263" w:type="dxa"/>
            <w:noWrap/>
            <w:hideMark/>
          </w:tcPr>
          <w:p w14:paraId="249FDD99"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1.14</w:t>
            </w:r>
          </w:p>
        </w:tc>
        <w:tc>
          <w:tcPr>
            <w:tcW w:w="1450" w:type="dxa"/>
            <w:noWrap/>
            <w:hideMark/>
          </w:tcPr>
          <w:p w14:paraId="24050DBA" w14:textId="77777777" w:rsidR="00785A2D" w:rsidRPr="00785A2D" w:rsidRDefault="00785A2D">
            <w:pPr>
              <w:cnfStyle w:val="000000000000" w:firstRow="0" w:lastRow="0" w:firstColumn="0" w:lastColumn="0" w:oddVBand="0" w:evenVBand="0" w:oddHBand="0" w:evenHBand="0" w:firstRowFirstColumn="0" w:firstRowLastColumn="0" w:lastRowFirstColumn="0" w:lastRowLastColumn="0"/>
            </w:pPr>
            <w:r w:rsidRPr="00785A2D">
              <w:t>No PE/PPE</w:t>
            </w:r>
          </w:p>
        </w:tc>
      </w:tr>
      <w:tr w:rsidR="00785A2D" w:rsidRPr="00785A2D" w14:paraId="7FF72A87" w14:textId="77777777" w:rsidTr="00562D8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83" w:type="dxa"/>
            <w:noWrap/>
            <w:hideMark/>
          </w:tcPr>
          <w:p w14:paraId="359B499C" w14:textId="77777777" w:rsidR="00785A2D" w:rsidRPr="00785A2D" w:rsidRDefault="00785A2D">
            <w:r w:rsidRPr="00785A2D">
              <w:t>Sensitivity</w:t>
            </w:r>
          </w:p>
        </w:tc>
        <w:tc>
          <w:tcPr>
            <w:tcW w:w="1390" w:type="dxa"/>
            <w:noWrap/>
            <w:hideMark/>
          </w:tcPr>
          <w:p w14:paraId="2163A67D"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20</w:t>
            </w:r>
          </w:p>
        </w:tc>
        <w:tc>
          <w:tcPr>
            <w:tcW w:w="1116" w:type="dxa"/>
            <w:noWrap/>
            <w:hideMark/>
          </w:tcPr>
          <w:p w14:paraId="06F6C176"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0.92</w:t>
            </w:r>
          </w:p>
        </w:tc>
        <w:tc>
          <w:tcPr>
            <w:tcW w:w="1123" w:type="dxa"/>
            <w:noWrap/>
            <w:hideMark/>
          </w:tcPr>
          <w:p w14:paraId="43687A3F"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0.92</w:t>
            </w:r>
          </w:p>
        </w:tc>
        <w:tc>
          <w:tcPr>
            <w:tcW w:w="1263" w:type="dxa"/>
            <w:noWrap/>
            <w:hideMark/>
          </w:tcPr>
          <w:p w14:paraId="1A26AD70"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0.00</w:t>
            </w:r>
          </w:p>
        </w:tc>
        <w:tc>
          <w:tcPr>
            <w:tcW w:w="1450" w:type="dxa"/>
            <w:noWrap/>
            <w:hideMark/>
          </w:tcPr>
          <w:p w14:paraId="58D86067" w14:textId="77777777" w:rsidR="00785A2D" w:rsidRPr="00785A2D" w:rsidRDefault="00785A2D">
            <w:pPr>
              <w:cnfStyle w:val="000000100000" w:firstRow="0" w:lastRow="0" w:firstColumn="0" w:lastColumn="0" w:oddVBand="0" w:evenVBand="0" w:oddHBand="1" w:evenHBand="0" w:firstRowFirstColumn="0" w:firstRowLastColumn="0" w:lastRowFirstColumn="0" w:lastRowLastColumn="0"/>
            </w:pPr>
            <w:r w:rsidRPr="00785A2D">
              <w:t>No PE/PPE</w:t>
            </w:r>
          </w:p>
        </w:tc>
      </w:tr>
      <w:tr w:rsidR="00785A2D" w:rsidRPr="00785A2D" w14:paraId="1662AC7F" w14:textId="77777777" w:rsidTr="00562D84">
        <w:trPr>
          <w:trHeight w:val="320"/>
        </w:trPr>
        <w:tc>
          <w:tcPr>
            <w:cnfStyle w:val="001000000000" w:firstRow="0" w:lastRow="0" w:firstColumn="1" w:lastColumn="0" w:oddVBand="0" w:evenVBand="0" w:oddHBand="0" w:evenHBand="0" w:firstRowFirstColumn="0" w:firstRowLastColumn="0" w:lastRowFirstColumn="0" w:lastRowLastColumn="0"/>
            <w:tcW w:w="1783" w:type="dxa"/>
            <w:noWrap/>
            <w:hideMark/>
          </w:tcPr>
          <w:p w14:paraId="48277873" w14:textId="61D1E346" w:rsidR="00785A2D" w:rsidRPr="00785A2D" w:rsidRDefault="00785A2D">
            <w:r w:rsidRPr="00785A2D">
              <w:t>F</w:t>
            </w:r>
            <w:r w:rsidR="00562D84">
              <w:t>alse positives</w:t>
            </w:r>
          </w:p>
        </w:tc>
        <w:tc>
          <w:tcPr>
            <w:tcW w:w="1390" w:type="dxa"/>
            <w:noWrap/>
            <w:hideMark/>
          </w:tcPr>
          <w:p w14:paraId="2D44B3E9"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20</w:t>
            </w:r>
          </w:p>
        </w:tc>
        <w:tc>
          <w:tcPr>
            <w:tcW w:w="1116" w:type="dxa"/>
            <w:noWrap/>
            <w:hideMark/>
          </w:tcPr>
          <w:p w14:paraId="3FB6CD35"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3.35</w:t>
            </w:r>
          </w:p>
        </w:tc>
        <w:tc>
          <w:tcPr>
            <w:tcW w:w="1123" w:type="dxa"/>
            <w:noWrap/>
            <w:hideMark/>
          </w:tcPr>
          <w:p w14:paraId="62EB42BE"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3.00</w:t>
            </w:r>
          </w:p>
        </w:tc>
        <w:tc>
          <w:tcPr>
            <w:tcW w:w="1263" w:type="dxa"/>
            <w:noWrap/>
            <w:hideMark/>
          </w:tcPr>
          <w:p w14:paraId="766C60B7"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0.49</w:t>
            </w:r>
          </w:p>
        </w:tc>
        <w:tc>
          <w:tcPr>
            <w:tcW w:w="1450" w:type="dxa"/>
            <w:noWrap/>
            <w:hideMark/>
          </w:tcPr>
          <w:p w14:paraId="36C749B0" w14:textId="77777777" w:rsidR="00785A2D" w:rsidRPr="00785A2D" w:rsidRDefault="00785A2D">
            <w:pPr>
              <w:cnfStyle w:val="000000000000" w:firstRow="0" w:lastRow="0" w:firstColumn="0" w:lastColumn="0" w:oddVBand="0" w:evenVBand="0" w:oddHBand="0" w:evenHBand="0" w:firstRowFirstColumn="0" w:firstRowLastColumn="0" w:lastRowFirstColumn="0" w:lastRowLastColumn="0"/>
            </w:pPr>
            <w:r w:rsidRPr="00785A2D">
              <w:t>No PE/PPE</w:t>
            </w:r>
          </w:p>
        </w:tc>
      </w:tr>
      <w:tr w:rsidR="00785A2D" w:rsidRPr="00785A2D" w14:paraId="60786B7E" w14:textId="77777777" w:rsidTr="00562D8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83" w:type="dxa"/>
            <w:noWrap/>
            <w:hideMark/>
          </w:tcPr>
          <w:p w14:paraId="62804985" w14:textId="77777777" w:rsidR="00785A2D" w:rsidRPr="00785A2D" w:rsidRDefault="00785A2D">
            <w:r w:rsidRPr="00785A2D">
              <w:t>Precision</w:t>
            </w:r>
          </w:p>
        </w:tc>
        <w:tc>
          <w:tcPr>
            <w:tcW w:w="1390" w:type="dxa"/>
            <w:noWrap/>
            <w:hideMark/>
          </w:tcPr>
          <w:p w14:paraId="6E9154CC"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20</w:t>
            </w:r>
          </w:p>
        </w:tc>
        <w:tc>
          <w:tcPr>
            <w:tcW w:w="1116" w:type="dxa"/>
            <w:noWrap/>
            <w:hideMark/>
          </w:tcPr>
          <w:p w14:paraId="586EFC03"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1.00</w:t>
            </w:r>
          </w:p>
        </w:tc>
        <w:tc>
          <w:tcPr>
            <w:tcW w:w="1123" w:type="dxa"/>
            <w:noWrap/>
            <w:hideMark/>
          </w:tcPr>
          <w:p w14:paraId="34C6DA21"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1.00</w:t>
            </w:r>
          </w:p>
        </w:tc>
        <w:tc>
          <w:tcPr>
            <w:tcW w:w="1263" w:type="dxa"/>
            <w:noWrap/>
            <w:hideMark/>
          </w:tcPr>
          <w:p w14:paraId="4BAAF210"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0.00</w:t>
            </w:r>
          </w:p>
        </w:tc>
        <w:tc>
          <w:tcPr>
            <w:tcW w:w="1450" w:type="dxa"/>
            <w:noWrap/>
            <w:hideMark/>
          </w:tcPr>
          <w:p w14:paraId="781533FD" w14:textId="77777777" w:rsidR="00785A2D" w:rsidRPr="00785A2D" w:rsidRDefault="00785A2D">
            <w:pPr>
              <w:cnfStyle w:val="000000100000" w:firstRow="0" w:lastRow="0" w:firstColumn="0" w:lastColumn="0" w:oddVBand="0" w:evenVBand="0" w:oddHBand="1" w:evenHBand="0" w:firstRowFirstColumn="0" w:firstRowLastColumn="0" w:lastRowFirstColumn="0" w:lastRowLastColumn="0"/>
            </w:pPr>
            <w:r w:rsidRPr="00785A2D">
              <w:t>No PE/PPE</w:t>
            </w:r>
          </w:p>
        </w:tc>
      </w:tr>
      <w:tr w:rsidR="00785A2D" w:rsidRPr="00785A2D" w14:paraId="24A1BE8E" w14:textId="77777777" w:rsidTr="00562D84">
        <w:trPr>
          <w:trHeight w:val="320"/>
        </w:trPr>
        <w:tc>
          <w:tcPr>
            <w:cnfStyle w:val="001000000000" w:firstRow="0" w:lastRow="0" w:firstColumn="1" w:lastColumn="0" w:oddVBand="0" w:evenVBand="0" w:oddHBand="0" w:evenHBand="0" w:firstRowFirstColumn="0" w:firstRowLastColumn="0" w:lastRowFirstColumn="0" w:lastRowLastColumn="0"/>
            <w:tcW w:w="1783" w:type="dxa"/>
            <w:noWrap/>
            <w:hideMark/>
          </w:tcPr>
          <w:p w14:paraId="06C0A0E9" w14:textId="77777777" w:rsidR="00785A2D" w:rsidRPr="00785A2D" w:rsidRDefault="00785A2D">
            <w:r w:rsidRPr="00785A2D">
              <w:t>True variants</w:t>
            </w:r>
          </w:p>
        </w:tc>
        <w:tc>
          <w:tcPr>
            <w:tcW w:w="1390" w:type="dxa"/>
            <w:noWrap/>
            <w:hideMark/>
          </w:tcPr>
          <w:p w14:paraId="26E9BFD8"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20</w:t>
            </w:r>
          </w:p>
        </w:tc>
        <w:tc>
          <w:tcPr>
            <w:tcW w:w="1116" w:type="dxa"/>
            <w:noWrap/>
            <w:hideMark/>
          </w:tcPr>
          <w:p w14:paraId="707199F5"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1501.00</w:t>
            </w:r>
          </w:p>
        </w:tc>
        <w:tc>
          <w:tcPr>
            <w:tcW w:w="1123" w:type="dxa"/>
            <w:noWrap/>
            <w:hideMark/>
          </w:tcPr>
          <w:p w14:paraId="512C39B3"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1501.00</w:t>
            </w:r>
          </w:p>
        </w:tc>
        <w:tc>
          <w:tcPr>
            <w:tcW w:w="1263" w:type="dxa"/>
            <w:noWrap/>
            <w:hideMark/>
          </w:tcPr>
          <w:p w14:paraId="28AE5EDF"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0.00</w:t>
            </w:r>
          </w:p>
        </w:tc>
        <w:tc>
          <w:tcPr>
            <w:tcW w:w="1450" w:type="dxa"/>
            <w:noWrap/>
            <w:hideMark/>
          </w:tcPr>
          <w:p w14:paraId="447A587E" w14:textId="77777777" w:rsidR="00785A2D" w:rsidRPr="00785A2D" w:rsidRDefault="00785A2D">
            <w:pPr>
              <w:cnfStyle w:val="000000000000" w:firstRow="0" w:lastRow="0" w:firstColumn="0" w:lastColumn="0" w:oddVBand="0" w:evenVBand="0" w:oddHBand="0" w:evenHBand="0" w:firstRowFirstColumn="0" w:firstRowLastColumn="0" w:lastRowFirstColumn="0" w:lastRowLastColumn="0"/>
            </w:pPr>
            <w:r w:rsidRPr="00785A2D">
              <w:t>Genome</w:t>
            </w:r>
          </w:p>
        </w:tc>
      </w:tr>
      <w:tr w:rsidR="00785A2D" w:rsidRPr="00785A2D" w14:paraId="0DFF22A2" w14:textId="77777777" w:rsidTr="00562D8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83" w:type="dxa"/>
            <w:noWrap/>
            <w:hideMark/>
          </w:tcPr>
          <w:p w14:paraId="6C180CD3" w14:textId="40A11982" w:rsidR="00785A2D" w:rsidRPr="00785A2D" w:rsidRDefault="00562D84">
            <w:r w:rsidRPr="00785A2D">
              <w:t>T</w:t>
            </w:r>
            <w:r>
              <w:t>rue positives</w:t>
            </w:r>
          </w:p>
        </w:tc>
        <w:tc>
          <w:tcPr>
            <w:tcW w:w="1390" w:type="dxa"/>
            <w:noWrap/>
            <w:hideMark/>
          </w:tcPr>
          <w:p w14:paraId="71B0E02D"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20</w:t>
            </w:r>
          </w:p>
        </w:tc>
        <w:tc>
          <w:tcPr>
            <w:tcW w:w="1116" w:type="dxa"/>
            <w:noWrap/>
            <w:hideMark/>
          </w:tcPr>
          <w:p w14:paraId="29952359"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1148.80</w:t>
            </w:r>
          </w:p>
        </w:tc>
        <w:tc>
          <w:tcPr>
            <w:tcW w:w="1123" w:type="dxa"/>
            <w:noWrap/>
            <w:hideMark/>
          </w:tcPr>
          <w:p w14:paraId="5979D0B1"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1149.50</w:t>
            </w:r>
          </w:p>
        </w:tc>
        <w:tc>
          <w:tcPr>
            <w:tcW w:w="1263" w:type="dxa"/>
            <w:noWrap/>
            <w:hideMark/>
          </w:tcPr>
          <w:p w14:paraId="3147FB75"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5.24</w:t>
            </w:r>
          </w:p>
        </w:tc>
        <w:tc>
          <w:tcPr>
            <w:tcW w:w="1450" w:type="dxa"/>
            <w:noWrap/>
            <w:hideMark/>
          </w:tcPr>
          <w:p w14:paraId="31867339" w14:textId="77777777" w:rsidR="00785A2D" w:rsidRPr="00785A2D" w:rsidRDefault="00785A2D">
            <w:pPr>
              <w:cnfStyle w:val="000000100000" w:firstRow="0" w:lastRow="0" w:firstColumn="0" w:lastColumn="0" w:oddVBand="0" w:evenVBand="0" w:oddHBand="1" w:evenHBand="0" w:firstRowFirstColumn="0" w:firstRowLastColumn="0" w:lastRowFirstColumn="0" w:lastRowLastColumn="0"/>
            </w:pPr>
            <w:r w:rsidRPr="00785A2D">
              <w:t>Genome</w:t>
            </w:r>
          </w:p>
        </w:tc>
      </w:tr>
      <w:tr w:rsidR="00785A2D" w:rsidRPr="00785A2D" w14:paraId="0C0871EA" w14:textId="77777777" w:rsidTr="00562D84">
        <w:trPr>
          <w:trHeight w:val="320"/>
        </w:trPr>
        <w:tc>
          <w:tcPr>
            <w:cnfStyle w:val="001000000000" w:firstRow="0" w:lastRow="0" w:firstColumn="1" w:lastColumn="0" w:oddVBand="0" w:evenVBand="0" w:oddHBand="0" w:evenHBand="0" w:firstRowFirstColumn="0" w:firstRowLastColumn="0" w:lastRowFirstColumn="0" w:lastRowLastColumn="0"/>
            <w:tcW w:w="1783" w:type="dxa"/>
            <w:noWrap/>
            <w:hideMark/>
          </w:tcPr>
          <w:p w14:paraId="0FE05AED" w14:textId="77777777" w:rsidR="00785A2D" w:rsidRPr="00785A2D" w:rsidRDefault="00785A2D">
            <w:r w:rsidRPr="00785A2D">
              <w:t>Sensitivity</w:t>
            </w:r>
          </w:p>
        </w:tc>
        <w:tc>
          <w:tcPr>
            <w:tcW w:w="1390" w:type="dxa"/>
            <w:noWrap/>
            <w:hideMark/>
          </w:tcPr>
          <w:p w14:paraId="2D0CE0CF"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20</w:t>
            </w:r>
          </w:p>
        </w:tc>
        <w:tc>
          <w:tcPr>
            <w:tcW w:w="1116" w:type="dxa"/>
            <w:noWrap/>
            <w:hideMark/>
          </w:tcPr>
          <w:p w14:paraId="62192D34"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0.77</w:t>
            </w:r>
          </w:p>
        </w:tc>
        <w:tc>
          <w:tcPr>
            <w:tcW w:w="1123" w:type="dxa"/>
            <w:noWrap/>
            <w:hideMark/>
          </w:tcPr>
          <w:p w14:paraId="7AE81315"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0.77</w:t>
            </w:r>
          </w:p>
        </w:tc>
        <w:tc>
          <w:tcPr>
            <w:tcW w:w="1263" w:type="dxa"/>
            <w:noWrap/>
            <w:hideMark/>
          </w:tcPr>
          <w:p w14:paraId="3430FBC0"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0.00</w:t>
            </w:r>
          </w:p>
        </w:tc>
        <w:tc>
          <w:tcPr>
            <w:tcW w:w="1450" w:type="dxa"/>
            <w:noWrap/>
            <w:hideMark/>
          </w:tcPr>
          <w:p w14:paraId="5636B69C" w14:textId="77777777" w:rsidR="00785A2D" w:rsidRPr="00785A2D" w:rsidRDefault="00785A2D">
            <w:pPr>
              <w:cnfStyle w:val="000000000000" w:firstRow="0" w:lastRow="0" w:firstColumn="0" w:lastColumn="0" w:oddVBand="0" w:evenVBand="0" w:oddHBand="0" w:evenHBand="0" w:firstRowFirstColumn="0" w:firstRowLastColumn="0" w:lastRowFirstColumn="0" w:lastRowLastColumn="0"/>
            </w:pPr>
            <w:r w:rsidRPr="00785A2D">
              <w:t>Genome</w:t>
            </w:r>
          </w:p>
        </w:tc>
      </w:tr>
      <w:tr w:rsidR="00785A2D" w:rsidRPr="00785A2D" w14:paraId="0C31DA16" w14:textId="77777777" w:rsidTr="00562D8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83" w:type="dxa"/>
            <w:noWrap/>
            <w:hideMark/>
          </w:tcPr>
          <w:p w14:paraId="3B06DF6C" w14:textId="40BA3F3E" w:rsidR="00785A2D" w:rsidRPr="00785A2D" w:rsidRDefault="00562D84">
            <w:r w:rsidRPr="00785A2D">
              <w:t>F</w:t>
            </w:r>
            <w:r>
              <w:t>alse positives</w:t>
            </w:r>
          </w:p>
        </w:tc>
        <w:tc>
          <w:tcPr>
            <w:tcW w:w="1390" w:type="dxa"/>
            <w:noWrap/>
            <w:hideMark/>
          </w:tcPr>
          <w:p w14:paraId="11B5FBAB"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20</w:t>
            </w:r>
          </w:p>
        </w:tc>
        <w:tc>
          <w:tcPr>
            <w:tcW w:w="1116" w:type="dxa"/>
            <w:noWrap/>
            <w:hideMark/>
          </w:tcPr>
          <w:p w14:paraId="0D8482E6"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70.75</w:t>
            </w:r>
          </w:p>
        </w:tc>
        <w:tc>
          <w:tcPr>
            <w:tcW w:w="1123" w:type="dxa"/>
            <w:noWrap/>
            <w:hideMark/>
          </w:tcPr>
          <w:p w14:paraId="2F9E78BD"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70.00</w:t>
            </w:r>
          </w:p>
        </w:tc>
        <w:tc>
          <w:tcPr>
            <w:tcW w:w="1263" w:type="dxa"/>
            <w:noWrap/>
            <w:hideMark/>
          </w:tcPr>
          <w:p w14:paraId="6D8AB390" w14:textId="77777777" w:rsidR="00785A2D" w:rsidRPr="00785A2D" w:rsidRDefault="00785A2D" w:rsidP="00785A2D">
            <w:pPr>
              <w:cnfStyle w:val="000000100000" w:firstRow="0" w:lastRow="0" w:firstColumn="0" w:lastColumn="0" w:oddVBand="0" w:evenVBand="0" w:oddHBand="1" w:evenHBand="0" w:firstRowFirstColumn="0" w:firstRowLastColumn="0" w:lastRowFirstColumn="0" w:lastRowLastColumn="0"/>
            </w:pPr>
            <w:r w:rsidRPr="00785A2D">
              <w:t>8.91</w:t>
            </w:r>
          </w:p>
        </w:tc>
        <w:tc>
          <w:tcPr>
            <w:tcW w:w="1450" w:type="dxa"/>
            <w:noWrap/>
            <w:hideMark/>
          </w:tcPr>
          <w:p w14:paraId="7D179165" w14:textId="77777777" w:rsidR="00785A2D" w:rsidRPr="00785A2D" w:rsidRDefault="00785A2D">
            <w:pPr>
              <w:cnfStyle w:val="000000100000" w:firstRow="0" w:lastRow="0" w:firstColumn="0" w:lastColumn="0" w:oddVBand="0" w:evenVBand="0" w:oddHBand="1" w:evenHBand="0" w:firstRowFirstColumn="0" w:firstRowLastColumn="0" w:lastRowFirstColumn="0" w:lastRowLastColumn="0"/>
            </w:pPr>
            <w:r w:rsidRPr="00785A2D">
              <w:t>Genome</w:t>
            </w:r>
          </w:p>
        </w:tc>
      </w:tr>
      <w:tr w:rsidR="00785A2D" w:rsidRPr="00785A2D" w14:paraId="415832A0" w14:textId="77777777" w:rsidTr="00562D84">
        <w:trPr>
          <w:trHeight w:val="320"/>
        </w:trPr>
        <w:tc>
          <w:tcPr>
            <w:cnfStyle w:val="001000000000" w:firstRow="0" w:lastRow="0" w:firstColumn="1" w:lastColumn="0" w:oddVBand="0" w:evenVBand="0" w:oddHBand="0" w:evenHBand="0" w:firstRowFirstColumn="0" w:firstRowLastColumn="0" w:lastRowFirstColumn="0" w:lastRowLastColumn="0"/>
            <w:tcW w:w="1783" w:type="dxa"/>
            <w:noWrap/>
            <w:hideMark/>
          </w:tcPr>
          <w:p w14:paraId="6F884459" w14:textId="77777777" w:rsidR="00785A2D" w:rsidRPr="00785A2D" w:rsidRDefault="00785A2D">
            <w:r w:rsidRPr="00785A2D">
              <w:t>Precision</w:t>
            </w:r>
          </w:p>
        </w:tc>
        <w:tc>
          <w:tcPr>
            <w:tcW w:w="1390" w:type="dxa"/>
            <w:noWrap/>
            <w:hideMark/>
          </w:tcPr>
          <w:p w14:paraId="59B2F9AD"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20</w:t>
            </w:r>
          </w:p>
        </w:tc>
        <w:tc>
          <w:tcPr>
            <w:tcW w:w="1116" w:type="dxa"/>
            <w:noWrap/>
            <w:hideMark/>
          </w:tcPr>
          <w:p w14:paraId="422138B1"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0.94</w:t>
            </w:r>
          </w:p>
        </w:tc>
        <w:tc>
          <w:tcPr>
            <w:tcW w:w="1123" w:type="dxa"/>
            <w:noWrap/>
            <w:hideMark/>
          </w:tcPr>
          <w:p w14:paraId="0F88A5C9"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0.94</w:t>
            </w:r>
          </w:p>
        </w:tc>
        <w:tc>
          <w:tcPr>
            <w:tcW w:w="1263" w:type="dxa"/>
            <w:noWrap/>
            <w:hideMark/>
          </w:tcPr>
          <w:p w14:paraId="084CCE70" w14:textId="77777777" w:rsidR="00785A2D" w:rsidRPr="00785A2D" w:rsidRDefault="00785A2D" w:rsidP="00785A2D">
            <w:pPr>
              <w:cnfStyle w:val="000000000000" w:firstRow="0" w:lastRow="0" w:firstColumn="0" w:lastColumn="0" w:oddVBand="0" w:evenVBand="0" w:oddHBand="0" w:evenHBand="0" w:firstRowFirstColumn="0" w:firstRowLastColumn="0" w:lastRowFirstColumn="0" w:lastRowLastColumn="0"/>
            </w:pPr>
            <w:r w:rsidRPr="00785A2D">
              <w:t>0.01</w:t>
            </w:r>
          </w:p>
        </w:tc>
        <w:tc>
          <w:tcPr>
            <w:tcW w:w="1450" w:type="dxa"/>
            <w:noWrap/>
            <w:hideMark/>
          </w:tcPr>
          <w:p w14:paraId="05985DEE" w14:textId="77777777" w:rsidR="00785A2D" w:rsidRPr="00785A2D" w:rsidRDefault="00785A2D">
            <w:pPr>
              <w:cnfStyle w:val="000000000000" w:firstRow="0" w:lastRow="0" w:firstColumn="0" w:lastColumn="0" w:oddVBand="0" w:evenVBand="0" w:oddHBand="0" w:evenHBand="0" w:firstRowFirstColumn="0" w:firstRowLastColumn="0" w:lastRowFirstColumn="0" w:lastRowLastColumn="0"/>
            </w:pPr>
            <w:r w:rsidRPr="00785A2D">
              <w:t>Genome</w:t>
            </w:r>
          </w:p>
        </w:tc>
      </w:tr>
    </w:tbl>
    <w:p w14:paraId="73298878" w14:textId="1B6561A0" w:rsidR="00785A2D" w:rsidRDefault="00785A2D">
      <w:pPr>
        <w:rPr>
          <w:b/>
          <w:bCs/>
        </w:rPr>
      </w:pPr>
    </w:p>
    <w:p w14:paraId="1B5EFEAF" w14:textId="77777777" w:rsidR="00785A2D" w:rsidRPr="000D7F5F" w:rsidRDefault="00785A2D">
      <w:pPr>
        <w:rPr>
          <w:b/>
          <w:bCs/>
        </w:rPr>
      </w:pPr>
    </w:p>
    <w:sectPr w:rsidR="00785A2D" w:rsidRPr="000D7F5F" w:rsidSect="000E5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TSong">
    <w:panose1 w:val="02010600040101010101"/>
    <w:charset w:val="86"/>
    <w:family w:val="auto"/>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FE"/>
    <w:rsid w:val="000400E8"/>
    <w:rsid w:val="00042012"/>
    <w:rsid w:val="00065D24"/>
    <w:rsid w:val="000A16FE"/>
    <w:rsid w:val="000A3389"/>
    <w:rsid w:val="000D7F5F"/>
    <w:rsid w:val="000E590F"/>
    <w:rsid w:val="00183D8F"/>
    <w:rsid w:val="002B2D22"/>
    <w:rsid w:val="002C29DE"/>
    <w:rsid w:val="002F5F44"/>
    <w:rsid w:val="003C5DB1"/>
    <w:rsid w:val="00530446"/>
    <w:rsid w:val="00562D84"/>
    <w:rsid w:val="005969CE"/>
    <w:rsid w:val="00630F75"/>
    <w:rsid w:val="00681E82"/>
    <w:rsid w:val="006D3CF6"/>
    <w:rsid w:val="00781E7A"/>
    <w:rsid w:val="00785A2D"/>
    <w:rsid w:val="00823478"/>
    <w:rsid w:val="009B41BC"/>
    <w:rsid w:val="00A06D6F"/>
    <w:rsid w:val="00A602AF"/>
    <w:rsid w:val="00B17D4B"/>
    <w:rsid w:val="00B35450"/>
    <w:rsid w:val="00BA04EB"/>
    <w:rsid w:val="00CE24F6"/>
    <w:rsid w:val="00CE2544"/>
    <w:rsid w:val="00D64976"/>
    <w:rsid w:val="00E10A23"/>
    <w:rsid w:val="00E677A7"/>
    <w:rsid w:val="00EF6BF0"/>
    <w:rsid w:val="00F7398D"/>
    <w:rsid w:val="00FC54AC"/>
    <w:rsid w:val="00FE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BEB2"/>
  <w15:chartTrackingRefBased/>
  <w15:docId w15:val="{03D03A12-4F03-9247-AA71-FA06FA6F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A2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5DB1"/>
    <w:rPr>
      <w:sz w:val="16"/>
      <w:szCs w:val="16"/>
    </w:rPr>
  </w:style>
  <w:style w:type="paragraph" w:styleId="CommentText">
    <w:name w:val="annotation text"/>
    <w:basedOn w:val="Normal"/>
    <w:link w:val="CommentTextChar"/>
    <w:uiPriority w:val="99"/>
    <w:semiHidden/>
    <w:unhideWhenUsed/>
    <w:rsid w:val="003C5DB1"/>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C5DB1"/>
    <w:rPr>
      <w:sz w:val="20"/>
      <w:szCs w:val="20"/>
    </w:rPr>
  </w:style>
  <w:style w:type="paragraph" w:styleId="CommentSubject">
    <w:name w:val="annotation subject"/>
    <w:basedOn w:val="CommentText"/>
    <w:next w:val="CommentText"/>
    <w:link w:val="CommentSubjectChar"/>
    <w:uiPriority w:val="99"/>
    <w:semiHidden/>
    <w:unhideWhenUsed/>
    <w:rsid w:val="003C5DB1"/>
    <w:rPr>
      <w:b/>
      <w:bCs/>
    </w:rPr>
  </w:style>
  <w:style w:type="character" w:customStyle="1" w:styleId="CommentSubjectChar">
    <w:name w:val="Comment Subject Char"/>
    <w:basedOn w:val="CommentTextChar"/>
    <w:link w:val="CommentSubject"/>
    <w:uiPriority w:val="99"/>
    <w:semiHidden/>
    <w:rsid w:val="003C5DB1"/>
    <w:rPr>
      <w:b/>
      <w:bCs/>
      <w:sz w:val="20"/>
      <w:szCs w:val="20"/>
    </w:rPr>
  </w:style>
  <w:style w:type="paragraph" w:styleId="NormalWeb">
    <w:name w:val="Normal (Web)"/>
    <w:basedOn w:val="Normal"/>
    <w:uiPriority w:val="99"/>
    <w:semiHidden/>
    <w:unhideWhenUsed/>
    <w:rsid w:val="00785A2D"/>
    <w:pPr>
      <w:spacing w:before="100" w:beforeAutospacing="1" w:after="100" w:afterAutospacing="1"/>
    </w:pPr>
  </w:style>
  <w:style w:type="table" w:styleId="TableGrid">
    <w:name w:val="Table Grid"/>
    <w:basedOn w:val="TableNormal"/>
    <w:uiPriority w:val="39"/>
    <w:rsid w:val="00785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785A2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562D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2258">
      <w:bodyDiv w:val="1"/>
      <w:marLeft w:val="0"/>
      <w:marRight w:val="0"/>
      <w:marTop w:val="0"/>
      <w:marBottom w:val="0"/>
      <w:divBdr>
        <w:top w:val="none" w:sz="0" w:space="0" w:color="auto"/>
        <w:left w:val="none" w:sz="0" w:space="0" w:color="auto"/>
        <w:bottom w:val="none" w:sz="0" w:space="0" w:color="auto"/>
        <w:right w:val="none" w:sz="0" w:space="0" w:color="auto"/>
      </w:divBdr>
    </w:div>
    <w:div w:id="347368039">
      <w:bodyDiv w:val="1"/>
      <w:marLeft w:val="0"/>
      <w:marRight w:val="0"/>
      <w:marTop w:val="0"/>
      <w:marBottom w:val="0"/>
      <w:divBdr>
        <w:top w:val="none" w:sz="0" w:space="0" w:color="auto"/>
        <w:left w:val="none" w:sz="0" w:space="0" w:color="auto"/>
        <w:bottom w:val="none" w:sz="0" w:space="0" w:color="auto"/>
        <w:right w:val="none" w:sz="0" w:space="0" w:color="auto"/>
      </w:divBdr>
    </w:div>
    <w:div w:id="379593499">
      <w:bodyDiv w:val="1"/>
      <w:marLeft w:val="0"/>
      <w:marRight w:val="0"/>
      <w:marTop w:val="0"/>
      <w:marBottom w:val="0"/>
      <w:divBdr>
        <w:top w:val="none" w:sz="0" w:space="0" w:color="auto"/>
        <w:left w:val="none" w:sz="0" w:space="0" w:color="auto"/>
        <w:bottom w:val="none" w:sz="0" w:space="0" w:color="auto"/>
        <w:right w:val="none" w:sz="0" w:space="0" w:color="auto"/>
      </w:divBdr>
    </w:div>
    <w:div w:id="589848163">
      <w:bodyDiv w:val="1"/>
      <w:marLeft w:val="0"/>
      <w:marRight w:val="0"/>
      <w:marTop w:val="0"/>
      <w:marBottom w:val="0"/>
      <w:divBdr>
        <w:top w:val="none" w:sz="0" w:space="0" w:color="auto"/>
        <w:left w:val="none" w:sz="0" w:space="0" w:color="auto"/>
        <w:bottom w:val="none" w:sz="0" w:space="0" w:color="auto"/>
        <w:right w:val="none" w:sz="0" w:space="0" w:color="auto"/>
      </w:divBdr>
    </w:div>
    <w:div w:id="1125654658">
      <w:bodyDiv w:val="1"/>
      <w:marLeft w:val="0"/>
      <w:marRight w:val="0"/>
      <w:marTop w:val="0"/>
      <w:marBottom w:val="0"/>
      <w:divBdr>
        <w:top w:val="none" w:sz="0" w:space="0" w:color="auto"/>
        <w:left w:val="none" w:sz="0" w:space="0" w:color="auto"/>
        <w:bottom w:val="none" w:sz="0" w:space="0" w:color="auto"/>
        <w:right w:val="none" w:sz="0" w:space="0" w:color="auto"/>
      </w:divBdr>
    </w:div>
    <w:div w:id="1162047517">
      <w:bodyDiv w:val="1"/>
      <w:marLeft w:val="0"/>
      <w:marRight w:val="0"/>
      <w:marTop w:val="0"/>
      <w:marBottom w:val="0"/>
      <w:divBdr>
        <w:top w:val="none" w:sz="0" w:space="0" w:color="auto"/>
        <w:left w:val="none" w:sz="0" w:space="0" w:color="auto"/>
        <w:bottom w:val="none" w:sz="0" w:space="0" w:color="auto"/>
        <w:right w:val="none" w:sz="0" w:space="0" w:color="auto"/>
      </w:divBdr>
    </w:div>
    <w:div w:id="1569919743">
      <w:bodyDiv w:val="1"/>
      <w:marLeft w:val="0"/>
      <w:marRight w:val="0"/>
      <w:marTop w:val="0"/>
      <w:marBottom w:val="0"/>
      <w:divBdr>
        <w:top w:val="none" w:sz="0" w:space="0" w:color="auto"/>
        <w:left w:val="none" w:sz="0" w:space="0" w:color="auto"/>
        <w:bottom w:val="none" w:sz="0" w:space="0" w:color="auto"/>
        <w:right w:val="none" w:sz="0" w:space="0" w:color="auto"/>
      </w:divBdr>
    </w:div>
    <w:div w:id="16009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B0D58-37C2-3E4D-83C8-F93F1C04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Walter</dc:creator>
  <cp:keywords/>
  <dc:description/>
  <cp:lastModifiedBy>Katharine Walter</cp:lastModifiedBy>
  <cp:revision>3</cp:revision>
  <dcterms:created xsi:type="dcterms:W3CDTF">2022-12-24T05:26:00Z</dcterms:created>
  <dcterms:modified xsi:type="dcterms:W3CDTF">2022-12-24T05:27:00Z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e02d255e-d529-338b-afe9-5851888ff410</vt:lpwstr>
  </property>
  <property fmtid="{D5CDD505-2E9C-101B-9397-08002B2CF9AE}" pid="4" name="Mendeley Citation Style_1">
    <vt:lpwstr>http://csl.mendeley.com/styles/534367811/nature-2</vt:lpwstr>
  </property>
  <property fmtid="{D5CDD505-2E9C-101B-9397-08002B2CF9AE}" pid="5" name="Mendeley Recent Style Id 0_1">
    <vt:lpwstr>http://www.zotero.org/styles/american-journal-of-respiratory-and-critical-care-medicine</vt:lpwstr>
  </property>
  <property fmtid="{D5CDD505-2E9C-101B-9397-08002B2CF9AE}" pid="6" name="Mendeley Recent Style Name 0_1">
    <vt:lpwstr>American Journal of Respiratory and Critical Care Medicine</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 11th edition</vt:lpwstr>
  </property>
  <property fmtid="{D5CDD505-2E9C-101B-9397-08002B2CF9AE}" pid="9" name="Mendeley Recent Style Id 2_1">
    <vt:lpwstr>http://csl.mendeley.com/styles/534367811/american-medical-association-PMID</vt:lpwstr>
  </property>
  <property fmtid="{D5CDD505-2E9C-101B-9397-08002B2CF9AE}" pid="10" name="Mendeley Recent Style Name 2_1">
    <vt:lpwstr>American Medical Association 11th edition - Katharine Walter</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http://www.zotero.org/styles/emerging-infectious-diseases</vt:lpwstr>
  </property>
  <property fmtid="{D5CDD505-2E9C-101B-9397-08002B2CF9AE}" pid="14" name="Mendeley Recent Style Name 4_1">
    <vt:lpwstr>Emerging Infectious Diseases</vt:lpwstr>
  </property>
  <property fmtid="{D5CDD505-2E9C-101B-9397-08002B2CF9AE}" pid="15" name="Mendeley Recent Style Id 5_1">
    <vt:lpwstr>http://www.zotero.org/styles/journal-of-infectious-diseases</vt:lpwstr>
  </property>
  <property fmtid="{D5CDD505-2E9C-101B-9397-08002B2CF9AE}" pid="16" name="Mendeley Recent Style Name 5_1">
    <vt:lpwstr>Journal of Infectious Diseases</vt:lpwstr>
  </property>
  <property fmtid="{D5CDD505-2E9C-101B-9397-08002B2CF9AE}" pid="17" name="Mendeley Recent Style Id 6_1">
    <vt:lpwstr>http://csl.mendeley.com/styles/534367811/minimal-grant-proposals</vt:lpwstr>
  </property>
  <property fmtid="{D5CDD505-2E9C-101B-9397-08002B2CF9AE}" pid="18" name="Mendeley Recent Style Name 6_1">
    <vt:lpwstr>Minimal style for grant proposals - Katharine Walter</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http://csl.mendeley.com/styles/534367811/nature-2</vt:lpwstr>
  </property>
  <property fmtid="{D5CDD505-2E9C-101B-9397-08002B2CF9AE}" pid="24" name="Mendeley Recent Style Name 9_1">
    <vt:lpwstr>Nature - Katharine Walter</vt:lpwstr>
  </property>
</Properties>
</file>